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84" w:rsidRPr="001F4384" w:rsidRDefault="001F4384" w:rsidP="001F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Чем пользоваться на ЕГЭ</w:t>
      </w:r>
      <w:r w:rsidRPr="001F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Кроме того, в комплекты КИМ по некоторым предметам включены справочные материалы.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Ниже дан полный перечень разрешенных дополнительных устройств и материалов, составленный на основе спецификаций по предметам.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384">
        <w:rPr>
          <w:rFonts w:ascii="Times New Roman" w:hAnsi="Times New Roman" w:cs="Times New Roman"/>
          <w:b/>
          <w:sz w:val="28"/>
          <w:szCs w:val="28"/>
        </w:rPr>
        <w:t xml:space="preserve">ЕГЭ по математике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Разрешается пользоваться линейкой. Справочные материалы, которые можно использовать во время экзамена, выдаются каждому участнику ЕГЭ вместе с текстом его экзаменационной работы.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b/>
          <w:sz w:val="28"/>
          <w:szCs w:val="28"/>
        </w:rPr>
        <w:t>ЕГЭ по географии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 Разрешено использование непрограммируемого калькулятора (на каждого ученика), линейки и транспортира. 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arcos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). 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Калькулятор не должен предоставлять </w:t>
      </w:r>
      <w:proofErr w:type="gramStart"/>
      <w:r w:rsidRPr="001F4384">
        <w:rPr>
          <w:rFonts w:ascii="Times New Roman" w:hAnsi="Times New Roman" w:cs="Times New Roman"/>
          <w:sz w:val="28"/>
          <w:szCs w:val="28"/>
        </w:rPr>
        <w:t>экзаменующемуся</w:t>
      </w:r>
      <w:proofErr w:type="gramEnd"/>
      <w:r w:rsidRPr="001F4384">
        <w:rPr>
          <w:rFonts w:ascii="Times New Roman" w:hAnsi="Times New Roman" w:cs="Times New Roman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 </w:t>
      </w:r>
      <w:r w:rsidRPr="001F4384">
        <w:rPr>
          <w:rFonts w:ascii="Times New Roman" w:hAnsi="Times New Roman" w:cs="Times New Roman"/>
          <w:b/>
          <w:sz w:val="28"/>
          <w:szCs w:val="28"/>
        </w:rPr>
        <w:t>ЕГЭ по химии</w:t>
      </w:r>
      <w:r w:rsidRPr="001F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) и линейки. Также к каждому варианту экзаменационной работы прилагаются следующие материалы:  </w:t>
      </w:r>
    </w:p>
    <w:p w:rsidR="001F4384" w:rsidRPr="001F4384" w:rsidRDefault="001F4384" w:rsidP="001F43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Менделеева;</w:t>
      </w:r>
    </w:p>
    <w:p w:rsidR="001F4384" w:rsidRPr="001F4384" w:rsidRDefault="001F4384" w:rsidP="001F43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>таблица растворимости солей, кислот и оснований в воде;</w:t>
      </w:r>
    </w:p>
    <w:p w:rsidR="001F4384" w:rsidRPr="001F4384" w:rsidRDefault="001F4384" w:rsidP="001F43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металлов.</w:t>
      </w:r>
    </w:p>
    <w:p w:rsidR="001F4384" w:rsidRP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 xml:space="preserve"> </w:t>
      </w:r>
      <w:r w:rsidRPr="001F4384">
        <w:rPr>
          <w:rFonts w:ascii="Times New Roman" w:hAnsi="Times New Roman" w:cs="Times New Roman"/>
          <w:b/>
          <w:sz w:val="28"/>
          <w:szCs w:val="28"/>
        </w:rPr>
        <w:t>ЕГЭ по физике</w:t>
      </w:r>
      <w:r w:rsidRPr="001F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84" w:rsidRDefault="001F4384" w:rsidP="001F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84">
        <w:rPr>
          <w:rFonts w:ascii="Times New Roman" w:hAnsi="Times New Roman" w:cs="Times New Roman"/>
          <w:sz w:val="28"/>
          <w:szCs w:val="28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38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1F4384">
        <w:rPr>
          <w:rFonts w:ascii="Times New Roman" w:hAnsi="Times New Roman" w:cs="Times New Roman"/>
          <w:sz w:val="28"/>
          <w:szCs w:val="28"/>
        </w:rPr>
        <w:t xml:space="preserve">) и линейки. Кроме того, каждый КИМ содержит справочные данные, которые могут понадобиться при выполнении работы. </w:t>
      </w:r>
    </w:p>
    <w:p w:rsidR="00000000" w:rsidRPr="001F4384" w:rsidRDefault="001F4384" w:rsidP="001F4384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F438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 остальным предметам</w:t>
      </w:r>
      <w:r w:rsidRPr="001F438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использование дополнительного оборудования и материалов на экзамене </w:t>
      </w:r>
      <w:r w:rsidRPr="001F438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не предусмотрено</w:t>
      </w:r>
      <w:r w:rsidRPr="001F438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</w:p>
    <w:sectPr w:rsidR="00000000" w:rsidRPr="001F4384" w:rsidSect="001F438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5A06"/>
    <w:multiLevelType w:val="hybridMultilevel"/>
    <w:tmpl w:val="C9AC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77D7"/>
    <w:multiLevelType w:val="hybridMultilevel"/>
    <w:tmpl w:val="A396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4384"/>
    <w:rsid w:val="001F4384"/>
    <w:rsid w:val="00B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46EC-7AAF-41B3-88E8-498589CB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2018-11-11T04:15:00Z</dcterms:created>
  <dcterms:modified xsi:type="dcterms:W3CDTF">2018-11-11T05:44:00Z</dcterms:modified>
</cp:coreProperties>
</file>